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For Lots 1 – 4 of this Framework Contract, a Call-Off Contract must be awarded in accordance with the Further Competition procedure set out in Paragraph 3 below.</w:t>
      </w:r>
    </w:p>
    <w:p w:rsidR="00000000" w:rsidDel="00000000" w:rsidP="00000000" w:rsidRDefault="00000000" w:rsidRPr="00000000" w14:paraId="00000006">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 5 of this Framework Contract, a Call-Off Contract must be awarded in accordance with the Direct Award procedure set out in Paragraph 2 below.</w:t>
      </w:r>
    </w:p>
    <w:p w:rsidR="00000000" w:rsidDel="00000000" w:rsidP="00000000" w:rsidRDefault="00000000" w:rsidRPr="00000000" w14:paraId="00000007">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9">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Lot 5 of this Framework Contract without holding a further competition shall:</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description of the Deliverables as set out in Framework Schedule 1 (Specification) and Framework Schedule 2 (Framework Tender) ; and</w:t>
      </w:r>
    </w:p>
    <w:p w:rsidR="00000000" w:rsidDel="00000000" w:rsidP="00000000" w:rsidRDefault="00000000" w:rsidRPr="00000000" w14:paraId="0000000C">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Supplier in accordance with Paragraph 6 below.</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0F">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Lots 1-4 of this Framework Contract through a Further Competition Procedure shall:</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3">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4">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5">
      <w:pPr>
        <w:keepNext w:val="1"/>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6">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7">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8">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A">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1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1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1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1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1F">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0">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1">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4">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5">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6">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9">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B">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2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E">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F">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0">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1">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2">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3">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4">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6">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7">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8">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9">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signing and returning (including by electronic means) a copy of the order form to the Buyer concerned within 10 Working Days.</w:t>
      </w:r>
    </w:p>
    <w:p w:rsidR="00000000" w:rsidDel="00000000" w:rsidP="00000000" w:rsidRDefault="00000000" w:rsidRPr="00000000" w14:paraId="0000003A">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Guidance:</w:t>
      </w:r>
      <w:r w:rsidDel="00000000" w:rsidR="00000000" w:rsidRPr="00000000">
        <w:rPr>
          <w:rFonts w:ascii="Arial Bold" w:cs="Arial Bold" w:eastAsia="Arial Bold" w:hAnsi="Arial Bold"/>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3C">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3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3">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4">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5">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6">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8">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9">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A">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4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4E">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2">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3">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4">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6">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7">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A">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B">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C">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5F">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0">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1">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4">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5">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6">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Quality</w:t>
            </w:r>
            <w:r w:rsidDel="00000000" w:rsidR="00000000" w:rsidRPr="00000000">
              <w:rPr>
                <w:rtl w:val="0"/>
              </w:rPr>
            </w:r>
          </w:p>
        </w:tc>
        <w:tc>
          <w:tcPr/>
          <w:p w:rsidR="00000000" w:rsidDel="00000000" w:rsidP="00000000" w:rsidRDefault="00000000" w:rsidRPr="00000000" w14:paraId="00000068">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60 </w:t>
            </w:r>
          </w:p>
        </w:tc>
      </w:tr>
      <w:tr>
        <w:trPr>
          <w:cantSplit w:val="0"/>
          <w:tblHeader w:val="0"/>
        </w:trPr>
        <w:tc>
          <w:tcPr/>
          <w:p w:rsidR="00000000" w:rsidDel="00000000" w:rsidP="00000000" w:rsidRDefault="00000000" w:rsidRPr="00000000" w14:paraId="00000069">
            <w:pPr>
              <w:keepNext w:val="1"/>
              <w:widowControl w:val="1"/>
              <w:pBdr>
                <w:top w:space="0" w:sz="0" w:val="nil"/>
                <w:left w:space="0" w:sz="0" w:val="nil"/>
                <w:bottom w:space="0" w:sz="0" w:val="nil"/>
                <w:right w:space="0" w:sz="0" w:val="nil"/>
                <w:between w:space="0" w:sz="0" w:val="nil"/>
              </w:pBdr>
              <w:spacing w:after="120" w:befor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Price</w:t>
            </w:r>
          </w:p>
        </w:tc>
        <w:tc>
          <w:tcPr/>
          <w:p w:rsidR="00000000" w:rsidDel="00000000" w:rsidP="00000000" w:rsidRDefault="00000000" w:rsidRPr="00000000" w14:paraId="0000006A">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r>
        <w:trPr>
          <w:cantSplit w:val="0"/>
          <w:tblHeader w:val="0"/>
        </w:trPr>
        <w:tc>
          <w:tcPr/>
          <w:p w:rsidR="00000000" w:rsidDel="00000000" w:rsidP="00000000" w:rsidRDefault="00000000" w:rsidRPr="00000000" w14:paraId="0000006B">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6C">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D">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6E">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F">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70">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3">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74">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5">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6">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7">
            <w:pPr>
              <w:widowControl w:val="1"/>
              <w:spacing w:after="200" w:before="120" w:line="276" w:lineRule="auto"/>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8">
            <w:pPr>
              <w:keepNext w:val="1"/>
              <w:widowControl w:val="1"/>
              <w:spacing w:after="120" w:before="12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9">
            <w:pPr>
              <w:keepNext w:val="1"/>
              <w:widowControl w:val="1"/>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Which can include, but is not limited to:</w:t>
            </w:r>
          </w:p>
          <w:p w:rsidR="00000000" w:rsidDel="00000000" w:rsidP="00000000" w:rsidRDefault="00000000" w:rsidRPr="00000000" w14:paraId="0000007A">
            <w:pPr>
              <w:keepNext w:val="1"/>
              <w:widowControl w:val="1"/>
              <w:numPr>
                <w:ilvl w:val="0"/>
                <w:numId w:val="2"/>
              </w:numPr>
              <w:spacing w:after="120" w:before="120" w:lineRule="auto"/>
              <w:ind w:left="17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Added Value / Innovation</w:t>
            </w:r>
          </w:p>
          <w:p w:rsidR="00000000" w:rsidDel="00000000" w:rsidP="00000000" w:rsidRDefault="00000000" w:rsidRPr="00000000" w14:paraId="0000007B">
            <w:pPr>
              <w:keepNext w:val="1"/>
              <w:widowControl w:val="1"/>
              <w:numPr>
                <w:ilvl w:val="0"/>
                <w:numId w:val="2"/>
              </w:numPr>
              <w:spacing w:after="120" w:before="120" w:lineRule="auto"/>
              <w:ind w:left="17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p w:rsidR="00000000" w:rsidDel="00000000" w:rsidP="00000000" w:rsidRDefault="00000000" w:rsidRPr="00000000" w14:paraId="0000007C">
            <w:pPr>
              <w:keepNext w:val="1"/>
              <w:widowControl w:val="1"/>
              <w:numPr>
                <w:ilvl w:val="0"/>
                <w:numId w:val="2"/>
              </w:numPr>
              <w:spacing w:after="120" w:before="120" w:lineRule="auto"/>
              <w:ind w:left="17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Approach To Delivery Of The Services</w:t>
            </w:r>
          </w:p>
          <w:p w:rsidR="00000000" w:rsidDel="00000000" w:rsidP="00000000" w:rsidRDefault="00000000" w:rsidRPr="00000000" w14:paraId="0000007D">
            <w:pPr>
              <w:keepNext w:val="1"/>
              <w:widowControl w:val="1"/>
              <w:numPr>
                <w:ilvl w:val="0"/>
                <w:numId w:val="2"/>
              </w:numPr>
              <w:spacing w:after="120" w:before="120" w:lineRule="auto"/>
              <w:ind w:left="17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date and implementation period</w:t>
            </w:r>
          </w:p>
        </w:tc>
        <w:tc>
          <w:tcPr/>
          <w:p w:rsidR="00000000" w:rsidDel="00000000" w:rsidP="00000000" w:rsidRDefault="00000000" w:rsidRPr="00000000" w14:paraId="0000007E">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r>
        <w:trPr>
          <w:cantSplit w:val="0"/>
          <w:tblHeader w:val="0"/>
        </w:trPr>
        <w:tc>
          <w:tcPr/>
          <w:p w:rsidR="00000000" w:rsidDel="00000000" w:rsidP="00000000" w:rsidRDefault="00000000" w:rsidRPr="00000000" w14:paraId="0000007F">
            <w:pPr>
              <w:keepNext w:val="1"/>
              <w:widowControl w:val="1"/>
              <w:spacing w:after="120" w:before="12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p w:rsidR="00000000" w:rsidDel="00000000" w:rsidP="00000000" w:rsidRDefault="00000000" w:rsidRPr="00000000" w14:paraId="00000080">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70%</w:t>
            </w:r>
          </w:p>
        </w:tc>
      </w:tr>
    </w:tbl>
    <w:p w:rsidR="00000000" w:rsidDel="00000000" w:rsidP="00000000" w:rsidRDefault="00000000" w:rsidRPr="00000000" w14:paraId="00000081">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call off the Buyer will be given complete flexibility to structure price/quality weighting and evaluation as appropriate and proportionate. This may be 90% on price, more specifically established and commodity requirements or may be a high quality rating, for newer or consultative services.</w:t>
      </w:r>
    </w:p>
    <w:p w:rsidR="00000000" w:rsidDel="00000000" w:rsidP="00000000" w:rsidRDefault="00000000" w:rsidRPr="00000000" w14:paraId="00000084">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widowControl w:val="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call off the Buyer and the Authority will be given complete flexibility to evaluate 100% on price. The Buyer and the Authority may use Pass/Fail questions to measure quality at call off stage.</w:t>
      </w:r>
    </w:p>
    <w:p w:rsidR="00000000" w:rsidDel="00000000" w:rsidP="00000000" w:rsidRDefault="00000000" w:rsidRPr="00000000" w14:paraId="00000086">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9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9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ktQOonOYm5p2D4v/SYBdWcq74Q==">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2024-03-05T14:20:00Z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